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b w:val="1"/>
          <w:bCs w:val="1"/>
          <w:u w:val="single"/>
        </w:rPr>
      </w:pPr>
      <w:r>
        <w:rPr>
          <w:b w:val="1"/>
          <w:bCs w:val="1"/>
          <w:u w:val="single"/>
          <w:rtl w:val="0"/>
          <w:lang w:val="en-US"/>
        </w:rPr>
        <w:t>Item 6:</w:t>
      </w:r>
      <w:r>
        <w:rPr>
          <w:rtl w:val="0"/>
        </w:rPr>
        <w:t xml:space="preserve"> </w:t>
      </w:r>
      <w:r>
        <w:rPr>
          <w:b w:val="1"/>
          <w:bCs w:val="1"/>
          <w:u w:val="single"/>
          <w:rtl w:val="0"/>
          <w:lang w:val="en-US"/>
        </w:rPr>
        <w:t>Bed Based  Care - Phase One Strategy</w:t>
      </w:r>
    </w:p>
    <w:p>
      <w:pPr>
        <w:pStyle w:val="Body A"/>
        <w:rPr>
          <w:b w:val="1"/>
          <w:bCs w:val="1"/>
          <w:u w:val="single"/>
        </w:rPr>
      </w:pPr>
    </w:p>
    <w:p>
      <w:pPr>
        <w:pStyle w:val="Body A"/>
        <w:spacing w:line="360" w:lineRule="auto"/>
      </w:pPr>
      <w:r>
        <w:rPr>
          <w:rtl w:val="0"/>
          <w:lang w:val="en-US"/>
        </w:rPr>
        <w:t>My name is Des Loughney, Secretary of Edinburgh Trade Union Council. My colleague is Kathy Jenkins who is a delegate to Edinburgh TUC. We would like to thank the Board for agreeing to hear our deputation</w:t>
      </w:r>
      <w:r>
        <w:rPr>
          <w:rtl w:val="0"/>
          <w:lang w:val="en-US"/>
        </w:rPr>
        <w:t xml:space="preserve"> and our comments on the paper that is item 6</w:t>
      </w:r>
      <w:r>
        <w:rPr>
          <w:rtl w:val="0"/>
          <w:lang w:val="en-US"/>
        </w:rPr>
        <w:t xml:space="preserve">. I will speak for </w:t>
      </w:r>
      <w:r>
        <w:rPr>
          <w:rtl w:val="0"/>
          <w:lang w:val="en-US"/>
        </w:rPr>
        <w:t>q couple of</w:t>
      </w:r>
      <w:r>
        <w:rPr>
          <w:rtl w:val="0"/>
          <w:lang w:val="en-US"/>
        </w:rPr>
        <w:t xml:space="preserve"> minutes and Kathy for the </w:t>
      </w:r>
      <w:r>
        <w:rPr>
          <w:rtl w:val="0"/>
          <w:lang w:val="en-US"/>
        </w:rPr>
        <w:t>rest</w:t>
      </w:r>
      <w:r>
        <w:rPr>
          <w:rtl w:val="0"/>
          <w:lang w:val="en-US"/>
        </w:rPr>
        <w:t>.</w:t>
      </w:r>
    </w:p>
    <w:p>
      <w:pPr>
        <w:pStyle w:val="Body A"/>
        <w:spacing w:line="360" w:lineRule="auto"/>
      </w:pPr>
    </w:p>
    <w:p>
      <w:pPr>
        <w:pStyle w:val="Body A"/>
        <w:spacing w:line="360" w:lineRule="auto"/>
      </w:pPr>
      <w:r>
        <w:rPr>
          <w:rtl w:val="0"/>
          <w:lang w:val="en-US"/>
        </w:rPr>
        <w:t>The Board may remember that we had a deputation to your June meeting. During the course of</w:t>
      </w:r>
    </w:p>
    <w:p>
      <w:pPr>
        <w:pStyle w:val="Body A"/>
        <w:spacing w:line="360" w:lineRule="auto"/>
      </w:pPr>
      <w:r>
        <w:rPr>
          <w:rtl w:val="0"/>
          <w:lang w:val="en-US"/>
        </w:rPr>
        <w:t>the meeting we put some questions to the Board which we believed the public would want to be answered. We do not believe that that the questions have been answered and we hope that they will be answered in the papers presented to the September meeting.</w:t>
      </w:r>
    </w:p>
    <w:p>
      <w:pPr>
        <w:pStyle w:val="Body A"/>
        <w:spacing w:line="360" w:lineRule="auto"/>
      </w:pPr>
    </w:p>
    <w:p>
      <w:pPr>
        <w:pStyle w:val="Body A"/>
        <w:numPr>
          <w:ilvl w:val="0"/>
          <w:numId w:val="2"/>
        </w:numPr>
        <w:bidi w:val="0"/>
        <w:spacing w:line="360" w:lineRule="auto"/>
        <w:ind w:right="0"/>
        <w:jc w:val="left"/>
        <w:rPr>
          <w:b w:val="1"/>
          <w:bCs w:val="1"/>
          <w:i w:val="1"/>
          <w:iCs w:val="1"/>
          <w:rtl w:val="0"/>
          <w:lang w:val="en-US"/>
        </w:rPr>
      </w:pPr>
      <w:r>
        <w:rPr>
          <w:b w:val="1"/>
          <w:bCs w:val="1"/>
          <w:i w:val="1"/>
          <w:iCs w:val="1"/>
          <w:rtl w:val="0"/>
          <w:lang w:val="en-US"/>
        </w:rPr>
        <w:t>We are waiting on an answer to the question on the lessons learnt from the COVID experience. There is going to be a sharp increase in poverty due to unemployment, fuel costs and the impact of universal credit. There are lengthening waiting lists for hospital admission and treatment. All these factors seem to suggest that demand for social care is going to increase faster than demographic factors would suggest. What lessons have been learnt from the dismal performance of the private sector during COVID? It seems that the EIJB should be closing private sector homes rather than public sector homes if you are basing closure on poor performance as well as inadequate buildings.</w:t>
      </w:r>
    </w:p>
    <w:p>
      <w:pPr>
        <w:pStyle w:val="Body A"/>
        <w:bidi w:val="0"/>
        <w:spacing w:line="360" w:lineRule="auto"/>
        <w:ind w:left="0" w:right="0" w:firstLine="0"/>
        <w:jc w:val="left"/>
        <w:rPr>
          <w:b w:val="1"/>
          <w:bCs w:val="1"/>
          <w:i w:val="1"/>
          <w:iCs w:val="1"/>
          <w:rtl w:val="0"/>
        </w:rPr>
      </w:pPr>
    </w:p>
    <w:p>
      <w:pPr>
        <w:pStyle w:val="Body A"/>
        <w:bidi w:val="0"/>
        <w:spacing w:line="360" w:lineRule="auto"/>
        <w:ind w:left="0" w:right="0" w:firstLine="0"/>
        <w:jc w:val="left"/>
        <w:rPr>
          <w:b w:val="1"/>
          <w:bCs w:val="1"/>
          <w:i w:val="1"/>
          <w:iCs w:val="1"/>
          <w:rtl w:val="0"/>
        </w:rPr>
      </w:pPr>
      <w:r>
        <w:rPr>
          <w:b w:val="1"/>
          <w:bCs w:val="1"/>
          <w:i w:val="1"/>
          <w:iCs w:val="1"/>
          <w:rtl w:val="0"/>
          <w:lang w:val="en-US"/>
        </w:rPr>
        <w:t>* We had thought that following the June meeting there would be a good practice consultation and engagement with trade unions and community groups. Good practice consultation means a viewpoint expressed by the community and the trade unions should be considered and not  ignored. Ourselves and others have expressed the view that new build care homes are going to be needed in Edinburgh to meet demand by 2025 or 2030. We believe that such a view is arguable and requires a reasoned response. We hope that the reasoned response will be available in September. If not any decision should be postponed until the reasoned response is available. There should be time for the reasoned response to be scrutinised by an independent expert who might be an academic such as Allyson Pollock.</w:t>
      </w:r>
    </w:p>
    <w:p>
      <w:pPr>
        <w:pStyle w:val="Body A"/>
        <w:spacing w:line="360" w:lineRule="auto"/>
        <w:rPr>
          <w:b w:val="1"/>
          <w:bCs w:val="1"/>
          <w:i w:val="1"/>
          <w:iCs w:val="1"/>
        </w:rPr>
      </w:pPr>
    </w:p>
    <w:p>
      <w:pPr>
        <w:pStyle w:val="Body A"/>
        <w:spacing w:line="360" w:lineRule="auto"/>
      </w:pPr>
      <w:r>
        <w:rPr>
          <w:rtl w:val="0"/>
          <w:lang w:val="en-US"/>
        </w:rPr>
        <w:t xml:space="preserve">We are puzzled and alarmed by the content of the Report in sections 41 to 45. It seems to us that the EIJB is seeking legal advice that will confirm that it can ignore the viewpoint  or policies of the City Council if it wishes. The EIJB seems to hope that it can ignore the consultation standards and practices of the City Council although the Council, unlike the EIJB, is an elected demcratic body. </w:t>
      </w:r>
    </w:p>
    <w:p>
      <w:pPr>
        <w:pStyle w:val="Body A"/>
        <w:spacing w:line="360" w:lineRule="auto"/>
      </w:pPr>
      <w:r>
        <w:rPr>
          <w:rtl w:val="0"/>
          <w:lang w:val="en-US"/>
        </w:rPr>
        <w:t>The EIJB seems to think that it has equal status to a democratic body. I hope that the Councillor</w:t>
      </w:r>
      <w:r>
        <w:rPr>
          <w:rtl w:val="0"/>
          <w:lang w:val="en-US"/>
        </w:rPr>
        <w:t>’</w:t>
      </w:r>
      <w:r>
        <w:rPr>
          <w:rtl w:val="0"/>
          <w:lang w:val="en-US"/>
        </w:rPr>
        <w:t xml:space="preserve">s on the EIJB will support Council policy and practices. </w:t>
      </w:r>
    </w:p>
    <w:p>
      <w:pPr>
        <w:pStyle w:val="Body A"/>
        <w:spacing w:line="360" w:lineRule="auto"/>
      </w:pPr>
    </w:p>
    <w:p>
      <w:pPr>
        <w:pStyle w:val="Body A"/>
        <w:spacing w:line="360" w:lineRule="auto"/>
      </w:pPr>
      <w:r>
        <w:rPr>
          <w:rtl w:val="0"/>
          <w:lang w:val="en-US"/>
        </w:rPr>
        <w:t>The EIJB seems to be saying that it has the right to instruct Council employees on what to do although it is not their employer. We hope that your legal advice will indicate that, in the interests of democracy, the City Council has a veto over your decisions. If the legal advice is not along those lines then we hope that the Council will seek a judicial review.</w:t>
      </w:r>
    </w:p>
    <w:p>
      <w:pPr>
        <w:pStyle w:val="Body A"/>
        <w:spacing w:line="360" w:lineRule="auto"/>
      </w:pPr>
    </w:p>
    <w:p>
      <w:pPr>
        <w:pStyle w:val="Body A"/>
        <w:spacing w:line="360" w:lineRule="auto"/>
      </w:pPr>
      <w:r>
        <w:rPr>
          <w:rtl w:val="0"/>
          <w:lang w:val="en-US"/>
        </w:rPr>
        <w:t>Thank you for listening. I will happy to answer any questions clarifying what I have said.</w:t>
      </w:r>
    </w:p>
    <w:p>
      <w:pPr>
        <w:pStyle w:val="Body A"/>
        <w:spacing w:line="360" w:lineRule="auto"/>
      </w:pPr>
    </w:p>
    <w:p>
      <w:pPr>
        <w:pStyle w:val="Body A"/>
        <w:spacing w:line="360" w:lineRule="auto"/>
      </w:pPr>
      <w:r>
        <w:rPr>
          <w:rtl w:val="0"/>
          <w:lang w:val="en-US"/>
        </w:rPr>
        <w:t>Des Loughney</w:t>
      </w:r>
    </w:p>
    <w:p>
      <w:pPr>
        <w:pStyle w:val="Body A"/>
        <w:spacing w:line="360" w:lineRule="auto"/>
      </w:pPr>
      <w:r>
        <w:rPr>
          <w:rtl w:val="0"/>
          <w:lang w:val="en-US"/>
        </w:rPr>
        <w:t>Secretary</w:t>
      </w:r>
    </w:p>
    <w:p>
      <w:pPr>
        <w:pStyle w:val="Body A"/>
        <w:spacing w:line="360" w:lineRule="auto"/>
      </w:pPr>
      <w:r>
        <w:rPr>
          <w:rtl w:val="0"/>
          <w:lang w:val="en-US"/>
        </w:rPr>
        <w:t>Edinburgh TUC</w:t>
      </w:r>
    </w:p>
    <w:p>
      <w:pPr>
        <w:pStyle w:val="Body A"/>
        <w:spacing w:line="360" w:lineRule="auto"/>
      </w:pPr>
    </w:p>
    <w:p>
      <w:pPr>
        <w:pStyle w:val="Body A"/>
        <w:spacing w:line="360" w:lineRule="auto"/>
      </w:pPr>
    </w:p>
    <w:p>
      <w:pPr>
        <w:pStyle w:val="Body A"/>
        <w:spacing w:line="360" w:lineRule="auto"/>
      </w:pPr>
    </w:p>
    <w:p>
      <w:pPr>
        <w:pStyle w:val="Body A"/>
        <w:spacing w:line="360" w:lineRule="auto"/>
      </w:pPr>
    </w:p>
    <w:p>
      <w:pPr>
        <w:pStyle w:val="Body A"/>
        <w:spacing w:line="360" w:lineRule="auto"/>
        <w:rPr>
          <w:b w:val="1"/>
          <w:bCs w:val="1"/>
          <w:i w:val="1"/>
          <w:iCs w:val="1"/>
        </w:rPr>
      </w:pPr>
    </w:p>
    <w:p>
      <w:pPr>
        <w:pStyle w:val="Body A"/>
        <w:spacing w:line="360" w:lineRule="auto"/>
        <w:rPr>
          <w:b w:val="1"/>
          <w:bCs w:val="1"/>
          <w:i w:val="1"/>
          <w:iCs w:val="1"/>
        </w:rPr>
      </w:pPr>
    </w:p>
    <w:p>
      <w:pPr>
        <w:pStyle w:val="Body A"/>
        <w:spacing w:line="360" w:lineRule="auto"/>
        <w:rPr>
          <w:b w:val="1"/>
          <w:bCs w:val="1"/>
          <w:i w:val="1"/>
          <w:iCs w:val="1"/>
        </w:rPr>
      </w:pPr>
    </w:p>
    <w:p>
      <w:pPr>
        <w:pStyle w:val="Body A"/>
        <w:spacing w:line="360" w:lineRule="auto"/>
        <w:rPr>
          <w:b w:val="1"/>
          <w:bCs w:val="1"/>
          <w:i w:val="1"/>
          <w:iCs w:val="1"/>
        </w:rPr>
      </w:pPr>
    </w:p>
    <w:p>
      <w:pPr>
        <w:pStyle w:val="Body A"/>
        <w:spacing w:line="360" w:lineRule="auto"/>
      </w:pPr>
    </w:p>
    <w:p>
      <w:pPr>
        <w:pStyle w:val="Body A"/>
        <w:spacing w:line="360" w:lineRule="auto"/>
      </w:pPr>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180" w:hanging="180"/>
      </w:pPr>
      <w:rPr>
        <w:rFonts w:ascii="Helvetica Neue" w:cs="Helvetica Neue" w:hAnsi="Helvetica Neue" w:eastAsia="Helvetica Neue"/>
        <w:b w:val="1"/>
        <w:bCs w:val="1"/>
        <w:i w:val="1"/>
        <w:iCs w:val="1"/>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60" w:hanging="180"/>
      </w:pPr>
      <w:rPr>
        <w:rFonts w:ascii="Helvetica Neue" w:cs="Helvetica Neue" w:hAnsi="Helvetica Neue" w:eastAsia="Helvetica Neue"/>
        <w:b w:val="1"/>
        <w:bCs w:val="1"/>
        <w:i w:val="1"/>
        <w:iCs w:val="1"/>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540" w:hanging="180"/>
      </w:pPr>
      <w:rPr>
        <w:rFonts w:ascii="Helvetica Neue" w:cs="Helvetica Neue" w:hAnsi="Helvetica Neue" w:eastAsia="Helvetica Neue"/>
        <w:b w:val="1"/>
        <w:bCs w:val="1"/>
        <w:i w:val="1"/>
        <w:iCs w:val="1"/>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720" w:hanging="180"/>
      </w:pPr>
      <w:rPr>
        <w:rFonts w:ascii="Helvetica Neue" w:cs="Helvetica Neue" w:hAnsi="Helvetica Neue" w:eastAsia="Helvetica Neue"/>
        <w:b w:val="1"/>
        <w:bCs w:val="1"/>
        <w:i w:val="1"/>
        <w:iCs w:val="1"/>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900" w:hanging="180"/>
      </w:pPr>
      <w:rPr>
        <w:rFonts w:ascii="Helvetica Neue" w:cs="Helvetica Neue" w:hAnsi="Helvetica Neue" w:eastAsia="Helvetica Neue"/>
        <w:b w:val="1"/>
        <w:bCs w:val="1"/>
        <w:i w:val="1"/>
        <w:iCs w:val="1"/>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1080" w:hanging="180"/>
      </w:pPr>
      <w:rPr>
        <w:rFonts w:ascii="Helvetica Neue" w:cs="Helvetica Neue" w:hAnsi="Helvetica Neue" w:eastAsia="Helvetica Neue"/>
        <w:b w:val="1"/>
        <w:bCs w:val="1"/>
        <w:i w:val="1"/>
        <w:iCs w:val="1"/>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1260" w:hanging="180"/>
      </w:pPr>
      <w:rPr>
        <w:rFonts w:ascii="Helvetica Neue" w:cs="Helvetica Neue" w:hAnsi="Helvetica Neue" w:eastAsia="Helvetica Neue"/>
        <w:b w:val="1"/>
        <w:bCs w:val="1"/>
        <w:i w:val="1"/>
        <w:iCs w:val="1"/>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1440" w:hanging="180"/>
      </w:pPr>
      <w:rPr>
        <w:rFonts w:ascii="Helvetica Neue" w:cs="Helvetica Neue" w:hAnsi="Helvetica Neue" w:eastAsia="Helvetica Neue"/>
        <w:b w:val="1"/>
        <w:bCs w:val="1"/>
        <w:i w:val="1"/>
        <w:iCs w:val="1"/>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1620" w:hanging="180"/>
      </w:pPr>
      <w:rPr>
        <w:rFonts w:ascii="Helvetica Neue" w:cs="Helvetica Neue" w:hAnsi="Helvetica Neue" w:eastAsia="Helvetica Neue"/>
        <w:b w:val="1"/>
        <w:bCs w:val="1"/>
        <w:i w:val="1"/>
        <w:i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